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68" w:rsidRPr="00C708D5" w:rsidRDefault="00DC4368" w:rsidP="00C708D5">
      <w:pPr>
        <w:shd w:val="clear" w:color="auto" w:fill="FFFFFF"/>
        <w:spacing w:after="0" w:line="345" w:lineRule="atLeast"/>
        <w:jc w:val="center"/>
        <w:outlineLvl w:val="0"/>
        <w:rPr>
          <w:rFonts w:ascii="Arial Black" w:eastAsia="Times New Roman" w:hAnsi="Arial Black" w:cs="Arial"/>
          <w:b/>
          <w:bCs/>
          <w:color w:val="102461"/>
          <w:kern w:val="36"/>
          <w:sz w:val="32"/>
          <w:szCs w:val="21"/>
          <w:lang w:eastAsia="tr-TR"/>
        </w:rPr>
      </w:pPr>
      <w:r w:rsidRPr="00C708D5">
        <w:rPr>
          <w:rFonts w:ascii="Arial Black" w:eastAsia="Times New Roman" w:hAnsi="Arial Black" w:cs="Arial"/>
          <w:b/>
          <w:bCs/>
          <w:color w:val="102461"/>
          <w:kern w:val="36"/>
          <w:sz w:val="32"/>
          <w:szCs w:val="21"/>
          <w:lang w:eastAsia="tr-TR"/>
        </w:rPr>
        <w:t>SERMAYE ARTTIRILMASINDA İSTENECEK EVRAKLAR</w:t>
      </w:r>
    </w:p>
    <w:p w:rsidR="004F7F65" w:rsidRPr="00DC4368" w:rsidRDefault="004F7F65" w:rsidP="00DC4368">
      <w:pPr>
        <w:shd w:val="clear" w:color="auto" w:fill="FFFFFF"/>
        <w:spacing w:after="0" w:line="345" w:lineRule="atLeast"/>
        <w:outlineLvl w:val="0"/>
        <w:rPr>
          <w:rFonts w:ascii="Arial" w:eastAsia="Times New Roman" w:hAnsi="Arial" w:cs="Arial"/>
          <w:b/>
          <w:bCs/>
          <w:color w:val="102461"/>
          <w:kern w:val="36"/>
          <w:sz w:val="21"/>
          <w:szCs w:val="21"/>
          <w:lang w:eastAsia="tr-TR"/>
        </w:rPr>
      </w:pPr>
    </w:p>
    <w:p w:rsidR="00DC4368" w:rsidRPr="00C708D5" w:rsidRDefault="00DC4368" w:rsidP="00C708D5">
      <w:pPr>
        <w:shd w:val="clear" w:color="auto" w:fill="FFFFFF"/>
        <w:spacing w:after="0" w:line="288" w:lineRule="atLeast"/>
        <w:jc w:val="center"/>
        <w:rPr>
          <w:rFonts w:ascii="Arial Black" w:eastAsia="Times New Roman" w:hAnsi="Arial Black" w:cs="Times New Roman"/>
          <w:color w:val="FFFFFF" w:themeColor="background1"/>
          <w:sz w:val="16"/>
          <w:szCs w:val="18"/>
          <w:highlight w:val="black"/>
          <w:lang w:eastAsia="tr-TR"/>
        </w:rPr>
      </w:pPr>
      <w:r w:rsidRPr="00C708D5">
        <w:rPr>
          <w:rFonts w:ascii="Arial Black" w:eastAsia="Times New Roman" w:hAnsi="Arial Black" w:cs="Times New Roman"/>
          <w:color w:val="FFFFFF" w:themeColor="background1"/>
          <w:sz w:val="16"/>
          <w:szCs w:val="18"/>
          <w:highlight w:val="black"/>
          <w:shd w:val="clear" w:color="auto" w:fill="FF0000"/>
          <w:lang w:eastAsia="tr-TR"/>
        </w:rPr>
        <w:t>ANONİM ŞİRKET VE LİMİTED ŞİRKET SERMAYE ARTIRIMLARINDA ÖDENEN REKABET KURUMU PAYI 01.01.2018 TARİHİ İTİBARİYLE ODAMIZ</w:t>
      </w:r>
      <w:r w:rsidR="00C708D5" w:rsidRPr="00C708D5">
        <w:rPr>
          <w:rFonts w:ascii="Arial Black" w:eastAsia="Times New Roman" w:hAnsi="Arial Black" w:cs="Times New Roman"/>
          <w:color w:val="FFFFFF" w:themeColor="background1"/>
          <w:sz w:val="16"/>
          <w:szCs w:val="18"/>
          <w:highlight w:val="black"/>
          <w:shd w:val="clear" w:color="auto" w:fill="FF0000"/>
          <w:lang w:eastAsia="tr-TR"/>
        </w:rPr>
        <w:t>DAN</w:t>
      </w:r>
      <w:r w:rsidRPr="00C708D5">
        <w:rPr>
          <w:rFonts w:ascii="Arial Black" w:eastAsia="Times New Roman" w:hAnsi="Arial Black" w:cs="Times New Roman"/>
          <w:color w:val="FFFFFF" w:themeColor="background1"/>
          <w:sz w:val="16"/>
          <w:szCs w:val="18"/>
          <w:highlight w:val="black"/>
          <w:shd w:val="clear" w:color="auto" w:fill="FF0000"/>
          <w:lang w:eastAsia="tr-TR"/>
        </w:rPr>
        <w:t xml:space="preserve"> TAHSİL EDİLECEKTİR.</w:t>
      </w:r>
    </w:p>
    <w:p w:rsidR="00DC4368" w:rsidRPr="00C708D5" w:rsidRDefault="00DC4368" w:rsidP="00C708D5">
      <w:pPr>
        <w:shd w:val="clear" w:color="auto" w:fill="FFFFFF"/>
        <w:spacing w:after="0" w:line="288" w:lineRule="atLeast"/>
        <w:jc w:val="center"/>
        <w:rPr>
          <w:rFonts w:ascii="Arial Black" w:eastAsia="Times New Roman" w:hAnsi="Arial Black" w:cs="Times New Roman"/>
          <w:color w:val="FFFFFF" w:themeColor="background1"/>
          <w:sz w:val="16"/>
          <w:szCs w:val="18"/>
          <w:lang w:eastAsia="tr-TR"/>
        </w:rPr>
      </w:pPr>
      <w:r w:rsidRPr="00C708D5">
        <w:rPr>
          <w:rFonts w:ascii="Arial Black" w:eastAsia="Times New Roman" w:hAnsi="Arial Black" w:cs="Times New Roman"/>
          <w:color w:val="FFFFFF" w:themeColor="background1"/>
          <w:sz w:val="16"/>
          <w:szCs w:val="18"/>
          <w:highlight w:val="black"/>
          <w:shd w:val="clear" w:color="auto" w:fill="FF0000"/>
          <w:lang w:eastAsia="tr-TR"/>
        </w:rPr>
        <w:t>BU TARİH İTİBARİYLE BANKAYA YATIRILAN ÖDEMELER KABUL EDİLMEYECEKTİR.</w:t>
      </w:r>
    </w:p>
    <w:p w:rsidR="00DC4368" w:rsidRPr="00C708D5" w:rsidRDefault="00DC4368" w:rsidP="00DC4368">
      <w:pPr>
        <w:shd w:val="clear" w:color="auto" w:fill="FFFFFF"/>
        <w:spacing w:after="150" w:line="288" w:lineRule="atLeast"/>
        <w:jc w:val="both"/>
        <w:rPr>
          <w:rFonts w:ascii="Verdana" w:eastAsia="Times New Roman" w:hAnsi="Verdana" w:cs="Times New Roman"/>
          <w:color w:val="FFFFFF" w:themeColor="background1"/>
          <w:sz w:val="18"/>
          <w:szCs w:val="18"/>
          <w:lang w:eastAsia="tr-TR"/>
        </w:rPr>
      </w:pPr>
      <w:r w:rsidRPr="00C708D5">
        <w:rPr>
          <w:rFonts w:ascii="Verdana" w:eastAsia="Times New Roman" w:hAnsi="Verdana" w:cs="Times New Roman"/>
          <w:color w:val="FFFFFF" w:themeColor="background1"/>
          <w:sz w:val="18"/>
          <w:szCs w:val="18"/>
          <w:lang w:eastAsia="tr-TR"/>
        </w:rPr>
        <w:t> </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Ticaret Sicili Müdürlüğü'ne hitaben yazılmış </w:t>
      </w:r>
      <w:r w:rsidRPr="00C708D5">
        <w:rPr>
          <w:rFonts w:ascii="Arial" w:eastAsia="Times New Roman" w:hAnsi="Arial" w:cs="Arial"/>
          <w:bCs/>
          <w:szCs w:val="27"/>
          <w:lang w:eastAsia="tr-TR"/>
        </w:rPr>
        <w:t>dilekçe</w:t>
      </w:r>
      <w:r w:rsidRPr="008D1868">
        <w:rPr>
          <w:rFonts w:ascii="Arial" w:eastAsia="Times New Roman" w:hAnsi="Arial" w:cs="Arial"/>
          <w:color w:val="000000"/>
          <w:szCs w:val="27"/>
          <w:lang w:eastAsia="tr-TR"/>
        </w:rPr>
        <w:t> 1 adet</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Verdana" w:eastAsia="Times New Roman" w:hAnsi="Verdana" w:cs="Times New Roman"/>
          <w:color w:val="000000"/>
          <w:szCs w:val="27"/>
          <w:lang w:eastAsia="tr-TR"/>
        </w:rPr>
        <w:t>İç kaynaklardan yapılan artırım </w:t>
      </w:r>
      <w:r w:rsidRPr="00C708D5">
        <w:rPr>
          <w:rFonts w:ascii="Verdana" w:eastAsia="Times New Roman" w:hAnsi="Verdana" w:cs="Times New Roman"/>
          <w:bCs/>
          <w:szCs w:val="27"/>
          <w:lang w:eastAsia="tr-TR"/>
        </w:rPr>
        <w:t>hariç</w:t>
      </w:r>
      <w:r w:rsidRPr="008D1868">
        <w:rPr>
          <w:rFonts w:ascii="Verdana" w:eastAsia="Times New Roman" w:hAnsi="Verdana" w:cs="Times New Roman"/>
          <w:color w:val="000000"/>
          <w:szCs w:val="27"/>
          <w:lang w:eastAsia="tr-TR"/>
        </w:rPr>
        <w:t>, payların nakdî bedelleri tamamen ödenmediği sürece sermaye artırılamaz.</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proofErr w:type="spellStart"/>
      <w:r w:rsidRPr="008D1868">
        <w:rPr>
          <w:rFonts w:ascii="Arial" w:eastAsia="Times New Roman" w:hAnsi="Arial" w:cs="Arial"/>
          <w:color w:val="000000"/>
          <w:szCs w:val="27"/>
          <w:lang w:eastAsia="tr-TR"/>
        </w:rPr>
        <w:t>Nakti</w:t>
      </w:r>
      <w:proofErr w:type="spellEnd"/>
      <w:r w:rsidRPr="008D1868">
        <w:rPr>
          <w:rFonts w:ascii="Arial" w:eastAsia="Times New Roman" w:hAnsi="Arial" w:cs="Arial"/>
          <w:color w:val="000000"/>
          <w:szCs w:val="27"/>
          <w:lang w:eastAsia="tr-TR"/>
        </w:rPr>
        <w:t xml:space="preserve"> sermaye artırımı var ise öncelikli olarak iç kaynaklardan sermayeye ilave edilmesi gereken tutarlar var ise bunlar ilave edilmeli yok ise </w:t>
      </w:r>
      <w:r w:rsidR="008D1868" w:rsidRPr="008D1868">
        <w:rPr>
          <w:rFonts w:ascii="Arial" w:eastAsia="Times New Roman" w:hAnsi="Arial" w:cs="Arial"/>
          <w:color w:val="000000"/>
          <w:szCs w:val="27"/>
          <w:lang w:eastAsia="tr-TR"/>
        </w:rPr>
        <w:t>nakit</w:t>
      </w:r>
      <w:r w:rsidRPr="008D1868">
        <w:rPr>
          <w:rFonts w:ascii="Arial" w:eastAsia="Times New Roman" w:hAnsi="Arial" w:cs="Arial"/>
          <w:color w:val="000000"/>
          <w:szCs w:val="27"/>
          <w:lang w:eastAsia="tr-TR"/>
        </w:rPr>
        <w:t xml:space="preserve"> sermaye artırım yapılmalıdır. TTK 462/3</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Esas sözleşme değişikliği bakanlık veya diğer resmi kurumların iznine tabi ise bu kurumlardan alınmış izin yazısı aslı</w:t>
      </w:r>
    </w:p>
    <w:p w:rsidR="00DC4368" w:rsidRPr="00C708D5" w:rsidRDefault="00DC4368" w:rsidP="00C708D5">
      <w:pPr>
        <w:numPr>
          <w:ilvl w:val="0"/>
          <w:numId w:val="4"/>
        </w:numPr>
        <w:shd w:val="clear" w:color="auto" w:fill="FFFFFF"/>
        <w:spacing w:after="0" w:line="288" w:lineRule="atLeast"/>
        <w:ind w:left="0"/>
        <w:rPr>
          <w:rFonts w:ascii="Verdana" w:eastAsia="Times New Roman" w:hAnsi="Verdana" w:cs="Times New Roman"/>
          <w:color w:val="FFFFFF" w:themeColor="background1"/>
          <w:sz w:val="10"/>
          <w:szCs w:val="18"/>
          <w:highlight w:val="black"/>
          <w:lang w:eastAsia="tr-TR"/>
        </w:rPr>
      </w:pPr>
      <w:r w:rsidRPr="008D1868">
        <w:rPr>
          <w:rFonts w:ascii="Arial" w:eastAsia="Times New Roman" w:hAnsi="Arial" w:cs="Arial"/>
          <w:color w:val="000000"/>
          <w:szCs w:val="27"/>
          <w:lang w:eastAsia="tr-TR"/>
        </w:rPr>
        <w:t xml:space="preserve">Artırılan </w:t>
      </w:r>
      <w:proofErr w:type="spellStart"/>
      <w:r w:rsidRPr="008D1868">
        <w:rPr>
          <w:rFonts w:ascii="Arial" w:eastAsia="Times New Roman" w:hAnsi="Arial" w:cs="Arial"/>
          <w:color w:val="000000"/>
          <w:szCs w:val="27"/>
          <w:lang w:eastAsia="tr-TR"/>
        </w:rPr>
        <w:t>Nakti</w:t>
      </w:r>
      <w:proofErr w:type="spellEnd"/>
      <w:r w:rsidRPr="008D1868">
        <w:rPr>
          <w:rFonts w:ascii="Arial" w:eastAsia="Times New Roman" w:hAnsi="Arial" w:cs="Arial"/>
          <w:color w:val="000000"/>
          <w:szCs w:val="27"/>
          <w:lang w:eastAsia="tr-TR"/>
        </w:rPr>
        <w:t xml:space="preserve"> sermayenin 1/4'nün şirket hesabına yatırıldığına dair</w:t>
      </w:r>
      <w:r w:rsidR="00C708D5">
        <w:rPr>
          <w:rFonts w:ascii="Arial" w:eastAsia="Times New Roman" w:hAnsi="Arial" w:cs="Arial"/>
          <w:color w:val="000000"/>
          <w:szCs w:val="27"/>
          <w:lang w:eastAsia="tr-TR"/>
        </w:rPr>
        <w:t xml:space="preserve"> </w:t>
      </w:r>
      <w:proofErr w:type="gramStart"/>
      <w:r w:rsidRPr="00C708D5">
        <w:rPr>
          <w:rFonts w:ascii="Arial" w:eastAsia="Times New Roman" w:hAnsi="Arial" w:cs="Arial"/>
          <w:bCs/>
          <w:szCs w:val="27"/>
          <w:u w:val="single"/>
          <w:lang w:eastAsia="tr-TR"/>
        </w:rPr>
        <w:t>dekont</w:t>
      </w:r>
      <w:proofErr w:type="gramEnd"/>
      <w:r w:rsidRPr="00C708D5">
        <w:rPr>
          <w:rFonts w:ascii="Arial" w:eastAsia="Times New Roman" w:hAnsi="Arial" w:cs="Arial"/>
          <w:bCs/>
          <w:szCs w:val="27"/>
          <w:u w:val="single"/>
          <w:lang w:eastAsia="tr-TR"/>
        </w:rPr>
        <w:t xml:space="preserve"> aslı</w:t>
      </w:r>
      <w:r w:rsidRPr="00C708D5">
        <w:rPr>
          <w:rFonts w:ascii="Arial" w:eastAsia="Times New Roman" w:hAnsi="Arial" w:cs="Arial"/>
          <w:szCs w:val="27"/>
          <w:lang w:eastAsia="tr-TR"/>
        </w:rPr>
        <w:t> ve </w:t>
      </w:r>
      <w:r w:rsidRPr="00C708D5">
        <w:rPr>
          <w:rFonts w:ascii="Arial" w:eastAsia="Times New Roman" w:hAnsi="Arial" w:cs="Arial"/>
          <w:bCs/>
          <w:szCs w:val="27"/>
          <w:lang w:eastAsia="tr-TR"/>
        </w:rPr>
        <w:t>banka mektubu</w:t>
      </w:r>
      <w:r w:rsidRPr="00C708D5">
        <w:rPr>
          <w:rFonts w:ascii="Arial" w:eastAsia="Times New Roman" w:hAnsi="Arial" w:cs="Arial"/>
          <w:b/>
          <w:bCs/>
          <w:szCs w:val="27"/>
          <w:lang w:eastAsia="tr-TR"/>
        </w:rPr>
        <w:t> </w:t>
      </w:r>
      <w:r w:rsidRPr="008D1868">
        <w:rPr>
          <w:rFonts w:ascii="Arial" w:eastAsia="Times New Roman" w:hAnsi="Arial" w:cs="Arial"/>
          <w:color w:val="000000"/>
          <w:szCs w:val="27"/>
          <w:lang w:eastAsia="tr-TR"/>
        </w:rPr>
        <w:t>aslı 1 adet </w:t>
      </w:r>
      <w:r w:rsidRPr="00C708D5">
        <w:rPr>
          <w:rFonts w:ascii="Arial" w:eastAsia="Times New Roman" w:hAnsi="Arial" w:cs="Arial"/>
          <w:color w:val="FFFFFF" w:themeColor="background1"/>
          <w:sz w:val="18"/>
          <w:szCs w:val="27"/>
          <w:highlight w:val="black"/>
          <w:shd w:val="clear" w:color="auto" w:fill="FF0000"/>
          <w:lang w:eastAsia="tr-TR"/>
        </w:rPr>
        <w:t>(HERBİR ORTAĞIN YATIRDIĞI 1/4 LÜK TUTAR AYRI AYRI GÖRÜLECEK ŞEKİLDE DÜZENLENMELİDİR)</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Sermaye artırımının türüne göre yönetim kurulunca düzenlenmiş ve imzalanmış </w:t>
      </w:r>
      <w:r w:rsidRPr="008D1868">
        <w:rPr>
          <w:rFonts w:ascii="Arial" w:eastAsia="Times New Roman" w:hAnsi="Arial" w:cs="Arial"/>
          <w:color w:val="0000FF"/>
          <w:szCs w:val="27"/>
          <w:lang w:eastAsia="tr-TR"/>
        </w:rPr>
        <w:t>beyan</w:t>
      </w:r>
      <w:r w:rsidRPr="008D1868">
        <w:rPr>
          <w:rFonts w:ascii="Arial" w:eastAsia="Times New Roman" w:hAnsi="Arial" w:cs="Arial"/>
          <w:color w:val="000000"/>
          <w:szCs w:val="27"/>
          <w:lang w:eastAsia="tr-TR"/>
        </w:rPr>
        <w:t> </w:t>
      </w:r>
      <w:r w:rsidRPr="00C708D5">
        <w:rPr>
          <w:rFonts w:ascii="Arial" w:eastAsia="Times New Roman" w:hAnsi="Arial" w:cs="Arial"/>
          <w:color w:val="000000"/>
          <w:sz w:val="20"/>
          <w:szCs w:val="27"/>
          <w:lang w:eastAsia="tr-TR"/>
        </w:rPr>
        <w:t xml:space="preserve">(TTK) </w:t>
      </w:r>
      <w:r w:rsidRPr="008D1868">
        <w:rPr>
          <w:rFonts w:ascii="Arial" w:eastAsia="Times New Roman" w:hAnsi="Arial" w:cs="Arial"/>
          <w:color w:val="000000"/>
          <w:szCs w:val="27"/>
          <w:lang w:eastAsia="tr-TR"/>
        </w:rPr>
        <w:t>1 adet</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Olağan veya olağanüstü genel kurul tescilinde gereken diğer belgeler</w:t>
      </w:r>
      <w:r w:rsidR="00C708D5">
        <w:rPr>
          <w:rFonts w:ascii="Arial" w:eastAsia="Times New Roman" w:hAnsi="Arial" w:cs="Arial"/>
          <w:color w:val="000000"/>
          <w:szCs w:val="27"/>
          <w:lang w:eastAsia="tr-TR"/>
        </w:rPr>
        <w:t xml:space="preserve"> </w:t>
      </w:r>
      <w:bookmarkStart w:id="0" w:name="_GoBack"/>
      <w:bookmarkEnd w:id="0"/>
    </w:p>
    <w:p w:rsidR="00DC4368" w:rsidRPr="008D1868" w:rsidRDefault="008D1868" w:rsidP="00C708D5">
      <w:pPr>
        <w:numPr>
          <w:ilvl w:val="0"/>
          <w:numId w:val="4"/>
        </w:numPr>
        <w:shd w:val="clear" w:color="auto" w:fill="FFFFFF"/>
        <w:spacing w:after="0" w:line="288" w:lineRule="atLeast"/>
        <w:ind w:left="0"/>
        <w:rPr>
          <w:rFonts w:ascii="Verdana" w:eastAsia="Times New Roman" w:hAnsi="Verdana" w:cs="Times New Roman"/>
          <w:color w:val="000000"/>
          <w:sz w:val="14"/>
          <w:szCs w:val="18"/>
          <w:lang w:eastAsia="tr-TR"/>
        </w:rPr>
      </w:pPr>
      <w:r>
        <w:rPr>
          <w:rFonts w:ascii="Arial" w:eastAsia="Times New Roman" w:hAnsi="Arial" w:cs="Arial"/>
          <w:color w:val="000000"/>
          <w:szCs w:val="27"/>
          <w:lang w:eastAsia="tr-TR"/>
        </w:rPr>
        <w:t>Yönetim kurulu tarafından</w:t>
      </w:r>
      <w:r w:rsidR="00DC4368" w:rsidRPr="008D1868">
        <w:rPr>
          <w:rFonts w:ascii="Arial" w:eastAsia="Times New Roman" w:hAnsi="Arial" w:cs="Arial"/>
          <w:color w:val="000000"/>
          <w:szCs w:val="27"/>
          <w:lang w:eastAsia="tr-TR"/>
        </w:rPr>
        <w:t xml:space="preserve"> imzalanmış </w:t>
      </w:r>
      <w:r w:rsidR="00DC4368" w:rsidRPr="00C708D5">
        <w:rPr>
          <w:rFonts w:ascii="Arial" w:eastAsia="Times New Roman" w:hAnsi="Arial" w:cs="Arial"/>
          <w:szCs w:val="27"/>
          <w:lang w:eastAsia="tr-TR"/>
        </w:rPr>
        <w:t>tadil metni </w:t>
      </w:r>
      <w:r w:rsidR="00DC4368" w:rsidRPr="008D1868">
        <w:rPr>
          <w:rFonts w:ascii="Arial" w:eastAsia="Times New Roman" w:hAnsi="Arial" w:cs="Arial"/>
          <w:color w:val="000000"/>
          <w:szCs w:val="27"/>
          <w:lang w:eastAsia="tr-TR"/>
        </w:rPr>
        <w:t>2 adet</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Sermaye artırımı ile ilgili </w:t>
      </w:r>
      <w:r w:rsidRPr="00C708D5">
        <w:rPr>
          <w:rFonts w:ascii="Arial" w:eastAsia="Times New Roman" w:hAnsi="Arial" w:cs="Arial"/>
          <w:szCs w:val="27"/>
          <w:lang w:eastAsia="tr-TR"/>
        </w:rPr>
        <w:t>yönetim kurulu kararı </w:t>
      </w:r>
      <w:r w:rsidRPr="008D1868">
        <w:rPr>
          <w:rFonts w:ascii="Arial" w:eastAsia="Times New Roman" w:hAnsi="Arial" w:cs="Arial"/>
          <w:color w:val="000000"/>
          <w:szCs w:val="27"/>
          <w:lang w:eastAsia="tr-TR"/>
        </w:rPr>
        <w:t>noter onaylı. 1 adet</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 xml:space="preserve">Sermaye artırımı sadece iç kaynaklardan veya sermaye taahhüdü yoluyla ya da sermaye </w:t>
      </w:r>
      <w:proofErr w:type="gramStart"/>
      <w:r w:rsidRPr="008D1868">
        <w:rPr>
          <w:rFonts w:ascii="Arial" w:eastAsia="Times New Roman" w:hAnsi="Arial" w:cs="Arial"/>
          <w:color w:val="000000"/>
          <w:szCs w:val="27"/>
          <w:lang w:eastAsia="tr-TR"/>
        </w:rPr>
        <w:t>taahhüdü</w:t>
      </w:r>
      <w:proofErr w:type="gramEnd"/>
      <w:r w:rsidRPr="008D1868">
        <w:rPr>
          <w:rFonts w:ascii="Arial" w:eastAsia="Times New Roman" w:hAnsi="Arial" w:cs="Arial"/>
          <w:color w:val="000000"/>
          <w:szCs w:val="27"/>
          <w:lang w:eastAsia="tr-TR"/>
        </w:rPr>
        <w:t xml:space="preserve"> ile birlikte iç kaynaklardan yapılıyorsa, sermayenin tamamının ödendiğine, karşılıksız kalıp kalmadığına ve şirket özvarlığının tespitine, iç kaynaklardan karşılanan tutarın şirket bünyesinde gerçekten var olduğuna ilişkin yeminli mali müşavir veya serbest muhasebeci mali müşavir raporu ya da denetime tabi şirketlerde denetçinin bu tespitlere ilişkin raporu.</w:t>
      </w:r>
      <w:r w:rsidR="008D1868">
        <w:rPr>
          <w:rFonts w:ascii="Arial" w:eastAsia="Times New Roman" w:hAnsi="Arial" w:cs="Arial"/>
          <w:color w:val="000000"/>
          <w:szCs w:val="27"/>
          <w:lang w:eastAsia="tr-TR"/>
        </w:rPr>
        <w:t xml:space="preserve"> </w:t>
      </w:r>
      <w:r w:rsidRPr="008D1868">
        <w:rPr>
          <w:rFonts w:ascii="Arial" w:eastAsia="Times New Roman" w:hAnsi="Arial" w:cs="Arial"/>
          <w:color w:val="000000"/>
          <w:szCs w:val="27"/>
          <w:lang w:eastAsia="tr-TR"/>
        </w:rPr>
        <w:t>Tespiti yapan YMM veya SMMM</w:t>
      </w:r>
      <w:r w:rsidR="008D1868">
        <w:rPr>
          <w:rFonts w:ascii="Arial" w:eastAsia="Times New Roman" w:hAnsi="Arial" w:cs="Arial"/>
          <w:color w:val="000000"/>
          <w:szCs w:val="27"/>
          <w:lang w:eastAsia="tr-TR"/>
        </w:rPr>
        <w:t xml:space="preserve"> </w:t>
      </w:r>
      <w:r w:rsidRPr="008D1868">
        <w:rPr>
          <w:rFonts w:ascii="Arial" w:eastAsia="Times New Roman" w:hAnsi="Arial" w:cs="Arial"/>
          <w:color w:val="000000"/>
          <w:szCs w:val="27"/>
          <w:lang w:eastAsia="tr-TR"/>
        </w:rPr>
        <w:t xml:space="preserve">faaliyet belgesi fotokopisi. ( Sadece </w:t>
      </w:r>
      <w:proofErr w:type="spellStart"/>
      <w:r w:rsidRPr="008D1868">
        <w:rPr>
          <w:rFonts w:ascii="Arial" w:eastAsia="Times New Roman" w:hAnsi="Arial" w:cs="Arial"/>
          <w:color w:val="000000"/>
          <w:szCs w:val="27"/>
          <w:lang w:eastAsia="tr-TR"/>
        </w:rPr>
        <w:t>Nakti</w:t>
      </w:r>
      <w:proofErr w:type="spellEnd"/>
      <w:r w:rsidRPr="008D1868">
        <w:rPr>
          <w:rFonts w:ascii="Arial" w:eastAsia="Times New Roman" w:hAnsi="Arial" w:cs="Arial"/>
          <w:color w:val="000000"/>
          <w:szCs w:val="27"/>
          <w:lang w:eastAsia="tr-TR"/>
        </w:rPr>
        <w:t xml:space="preserve"> sermaye artırımı yapılması durumunda </w:t>
      </w:r>
      <w:r w:rsidRPr="00C708D5">
        <w:rPr>
          <w:rFonts w:ascii="Arial" w:eastAsia="Times New Roman" w:hAnsi="Arial" w:cs="Arial"/>
          <w:b/>
          <w:color w:val="FFFFFF" w:themeColor="background1"/>
          <w:sz w:val="18"/>
          <w:szCs w:val="27"/>
          <w:highlight w:val="black"/>
          <w:shd w:val="clear" w:color="auto" w:fill="FF0000"/>
          <w:lang w:eastAsia="tr-TR"/>
        </w:rPr>
        <w:t>İç kaynaklardan sermayeye ilave edilecek tutar yoktur</w:t>
      </w:r>
      <w:r w:rsidRPr="00C708D5">
        <w:rPr>
          <w:rFonts w:ascii="Arial" w:eastAsia="Times New Roman" w:hAnsi="Arial" w:cs="Arial"/>
          <w:b/>
          <w:color w:val="000000"/>
          <w:sz w:val="18"/>
          <w:szCs w:val="27"/>
          <w:lang w:eastAsia="tr-TR"/>
        </w:rPr>
        <w:t> </w:t>
      </w:r>
      <w:r w:rsidRPr="008D1868">
        <w:rPr>
          <w:rFonts w:ascii="Arial" w:eastAsia="Times New Roman" w:hAnsi="Arial" w:cs="Arial"/>
          <w:color w:val="000000"/>
          <w:szCs w:val="27"/>
          <w:lang w:eastAsia="tr-TR"/>
        </w:rPr>
        <w:t>ibaresi mutlaka raporda belirtilmelidir.) 1 Adet</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proofErr w:type="gramStart"/>
      <w:r w:rsidRPr="008D1868">
        <w:rPr>
          <w:rFonts w:ascii="Arial" w:eastAsia="Times New Roman" w:hAnsi="Arial" w:cs="Arial"/>
          <w:color w:val="000000"/>
          <w:szCs w:val="27"/>
          <w:lang w:eastAsia="tr-TR"/>
        </w:rPr>
        <w:t xml:space="preserve">Sermaye artırımının sadece iç kaynaklardan yapılması durumunda, şirket sermayesinin </w:t>
      </w:r>
      <w:proofErr w:type="spellStart"/>
      <w:r w:rsidRPr="008D1868">
        <w:rPr>
          <w:rFonts w:ascii="Arial" w:eastAsia="Times New Roman" w:hAnsi="Arial" w:cs="Arial"/>
          <w:color w:val="000000"/>
          <w:szCs w:val="27"/>
          <w:lang w:eastAsia="tr-TR"/>
        </w:rPr>
        <w:t>özvarlık</w:t>
      </w:r>
      <w:proofErr w:type="spellEnd"/>
      <w:r w:rsidRPr="008D1868">
        <w:rPr>
          <w:rFonts w:ascii="Arial" w:eastAsia="Times New Roman" w:hAnsi="Arial" w:cs="Arial"/>
          <w:color w:val="000000"/>
          <w:szCs w:val="27"/>
          <w:lang w:eastAsia="tr-TR"/>
        </w:rPr>
        <w:t xml:space="preserve"> içinde korunduğunu, iç kaynaklardan karşılanan tutarın şirket bünyesinde gerçekten var olduğunu doğrulayan yönetim kurulunun açık ve yazılı beyanı ile genel kurul tarafından onaylanmış yıllık bilanço, bilanço tarihinin üzerinden altı aydan fazla zaman geçmiş olması halinde ise yönetim kurulu tarafından onaylanmış ara bilançonun müdürlüğe verilmesi halinde, </w:t>
      </w:r>
      <w:r w:rsidR="008D1868">
        <w:rPr>
          <w:rFonts w:ascii="Arial" w:eastAsia="Times New Roman" w:hAnsi="Arial" w:cs="Arial"/>
          <w:color w:val="000000"/>
          <w:szCs w:val="27"/>
          <w:lang w:eastAsia="tr-TR"/>
        </w:rPr>
        <w:t>10</w:t>
      </w:r>
      <w:r w:rsidRPr="008D1868">
        <w:rPr>
          <w:rFonts w:ascii="Arial" w:eastAsia="Times New Roman" w:hAnsi="Arial" w:cs="Arial"/>
          <w:color w:val="000000"/>
          <w:szCs w:val="27"/>
          <w:lang w:eastAsia="tr-TR"/>
        </w:rPr>
        <w:t xml:space="preserve">. </w:t>
      </w:r>
      <w:proofErr w:type="spellStart"/>
      <w:r w:rsidRPr="008D1868">
        <w:rPr>
          <w:rFonts w:ascii="Arial" w:eastAsia="Times New Roman" w:hAnsi="Arial" w:cs="Arial"/>
          <w:color w:val="000000"/>
          <w:szCs w:val="27"/>
          <w:lang w:eastAsia="tr-TR"/>
        </w:rPr>
        <w:t>bentde</w:t>
      </w:r>
      <w:proofErr w:type="spellEnd"/>
      <w:r w:rsidRPr="008D1868">
        <w:rPr>
          <w:rFonts w:ascii="Arial" w:eastAsia="Times New Roman" w:hAnsi="Arial" w:cs="Arial"/>
          <w:color w:val="000000"/>
          <w:szCs w:val="27"/>
          <w:lang w:eastAsia="tr-TR"/>
        </w:rPr>
        <w:t xml:space="preserve"> belirtilen rapor aranmaz.</w:t>
      </w:r>
      <w:proofErr w:type="gramEnd"/>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Sermaye artırımına iştirak eden </w:t>
      </w:r>
      <w:r w:rsidRPr="00C708D5">
        <w:rPr>
          <w:rFonts w:ascii="Arial" w:eastAsia="Times New Roman" w:hAnsi="Arial" w:cs="Arial"/>
          <w:szCs w:val="27"/>
          <w:lang w:eastAsia="tr-TR"/>
        </w:rPr>
        <w:t>pay sahipleri cetveli </w:t>
      </w:r>
      <w:r w:rsidR="008D1868">
        <w:rPr>
          <w:rFonts w:ascii="Arial" w:eastAsia="Times New Roman" w:hAnsi="Arial" w:cs="Arial"/>
          <w:color w:val="000000"/>
          <w:szCs w:val="27"/>
          <w:lang w:eastAsia="tr-TR"/>
        </w:rPr>
        <w:t>1</w:t>
      </w:r>
      <w:r w:rsidRPr="008D1868">
        <w:rPr>
          <w:rFonts w:ascii="Arial" w:eastAsia="Times New Roman" w:hAnsi="Arial" w:cs="Arial"/>
          <w:color w:val="000000"/>
          <w:szCs w:val="27"/>
          <w:lang w:eastAsia="tr-TR"/>
        </w:rPr>
        <w:t xml:space="preserve"> adet</w:t>
      </w:r>
    </w:p>
    <w:p w:rsidR="00DC4368" w:rsidRPr="00C708D5"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2"/>
          <w:szCs w:val="18"/>
          <w:lang w:eastAsia="tr-TR"/>
        </w:rPr>
      </w:pPr>
      <w:r w:rsidRPr="008D1868">
        <w:rPr>
          <w:rFonts w:ascii="Arial" w:eastAsia="Times New Roman" w:hAnsi="Arial" w:cs="Arial"/>
          <w:color w:val="000000"/>
          <w:szCs w:val="27"/>
          <w:lang w:eastAsia="tr-TR"/>
        </w:rPr>
        <w:t xml:space="preserve">Konulan ayni sermaye ile sermaye artırımı sırasında devralınacak işletmeler ve ayni varlıkların değerinin tespitine ilişkin mahkemece atanan bilirkişi tarafından hazırlanmış değerleme raporları. 1 Adet </w:t>
      </w:r>
      <w:proofErr w:type="gramStart"/>
      <w:r w:rsidRPr="00C708D5">
        <w:rPr>
          <w:rFonts w:ascii="Arial" w:eastAsia="Times New Roman" w:hAnsi="Arial" w:cs="Arial"/>
          <w:color w:val="000000"/>
          <w:sz w:val="20"/>
          <w:szCs w:val="27"/>
          <w:lang w:eastAsia="tr-TR"/>
        </w:rPr>
        <w:t>(</w:t>
      </w:r>
      <w:proofErr w:type="gramEnd"/>
      <w:r w:rsidRPr="00C708D5">
        <w:rPr>
          <w:rFonts w:ascii="Arial" w:eastAsia="Times New Roman" w:hAnsi="Arial" w:cs="Arial"/>
          <w:color w:val="000000"/>
          <w:sz w:val="20"/>
          <w:szCs w:val="27"/>
          <w:lang w:eastAsia="tr-TR"/>
        </w:rPr>
        <w:t>İLGİLİ MÜDÜRLÜĞE BİLDİRMİ YAPILACAKSA İLAVE OLARAK BİLDİRİM YAPILACAK MÜDÜRLÜK SAYISI KADAR (TAPU+TRAFİK VB.)</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r w:rsidRPr="008D1868">
        <w:rPr>
          <w:rFonts w:ascii="Arial" w:eastAsia="Times New Roman" w:hAnsi="Arial" w:cs="Arial"/>
          <w:color w:val="000000"/>
          <w:szCs w:val="27"/>
          <w:lang w:eastAsia="tr-TR"/>
        </w:rPr>
        <w:t>Konulan ayni sermaye üzerinde herhangi bir sınırlamanın olmadığına dair ilgili sicilden alınacak yazı.</w:t>
      </w:r>
    </w:p>
    <w:p w:rsidR="00DC4368" w:rsidRPr="008D1868" w:rsidRDefault="00DC4368" w:rsidP="00DC4368">
      <w:pPr>
        <w:numPr>
          <w:ilvl w:val="0"/>
          <w:numId w:val="4"/>
        </w:numPr>
        <w:shd w:val="clear" w:color="auto" w:fill="FFFFFF"/>
        <w:spacing w:after="0" w:line="288" w:lineRule="atLeast"/>
        <w:ind w:left="0"/>
        <w:jc w:val="both"/>
        <w:rPr>
          <w:rFonts w:ascii="Verdana" w:eastAsia="Times New Roman" w:hAnsi="Verdana" w:cs="Times New Roman"/>
          <w:color w:val="000000"/>
          <w:sz w:val="14"/>
          <w:szCs w:val="18"/>
          <w:lang w:eastAsia="tr-TR"/>
        </w:rPr>
      </w:pPr>
      <w:proofErr w:type="gramStart"/>
      <w:r w:rsidRPr="008D1868">
        <w:rPr>
          <w:rFonts w:ascii="Arial" w:eastAsia="Times New Roman" w:hAnsi="Arial" w:cs="Arial"/>
          <w:color w:val="000000"/>
          <w:szCs w:val="27"/>
          <w:lang w:eastAsia="tr-TR"/>
        </w:rPr>
        <w:t>Ayni sermaye olarak konulan taşınmazın, fikri mülkiyet haklarının ve diğer değerlerin kayıtlı bulundukları sicillere şerh verildiğini gösteren belge.</w:t>
      </w:r>
      <w:proofErr w:type="gramEnd"/>
    </w:p>
    <w:p w:rsidR="00A436A0" w:rsidRPr="008D1868" w:rsidRDefault="00A436A0" w:rsidP="00DC4368">
      <w:pPr>
        <w:rPr>
          <w:sz w:val="18"/>
        </w:rPr>
      </w:pPr>
    </w:p>
    <w:sectPr w:rsidR="00A436A0" w:rsidRPr="008D1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5CA"/>
    <w:multiLevelType w:val="multilevel"/>
    <w:tmpl w:val="57420628"/>
    <w:lvl w:ilvl="0">
      <w:start w:val="1"/>
      <w:numFmt w:val="decimal"/>
      <w:lvlText w:val="%1."/>
      <w:lvlJc w:val="left"/>
      <w:pPr>
        <w:tabs>
          <w:tab w:val="num" w:pos="720"/>
        </w:tabs>
        <w:ind w:left="720" w:hanging="360"/>
      </w:pPr>
      <w:rPr>
        <w:b/>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4C07BD"/>
    <w:rsid w:val="004F7F65"/>
    <w:rsid w:val="006B6539"/>
    <w:rsid w:val="008D1868"/>
    <w:rsid w:val="00A436A0"/>
    <w:rsid w:val="00C708D5"/>
    <w:rsid w:val="00DC4368"/>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5</cp:revision>
  <dcterms:created xsi:type="dcterms:W3CDTF">2019-03-28T16:46:00Z</dcterms:created>
  <dcterms:modified xsi:type="dcterms:W3CDTF">2019-04-05T16:41:00Z</dcterms:modified>
</cp:coreProperties>
</file>